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AA" w:rsidRPr="0023159F" w:rsidRDefault="00783AAA" w:rsidP="00783AAA">
      <w:pPr>
        <w:rPr>
          <w:sz w:val="26"/>
          <w:szCs w:val="28"/>
        </w:rPr>
      </w:pPr>
      <w:r w:rsidRPr="0023159F">
        <w:rPr>
          <w:rStyle w:val="Strong"/>
          <w:color w:val="000000"/>
          <w:sz w:val="26"/>
          <w:szCs w:val="28"/>
        </w:rPr>
        <w:t xml:space="preserve">ỦY BAN NHÂN DÂN         </w:t>
      </w:r>
      <w:r>
        <w:rPr>
          <w:rStyle w:val="Strong"/>
          <w:color w:val="000000"/>
          <w:sz w:val="26"/>
          <w:szCs w:val="28"/>
        </w:rPr>
        <w:t xml:space="preserve">        </w:t>
      </w:r>
      <w:r w:rsidRPr="0023159F">
        <w:rPr>
          <w:rStyle w:val="Strong"/>
          <w:color w:val="000000"/>
          <w:sz w:val="26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3159F">
            <w:rPr>
              <w:rStyle w:val="Strong"/>
              <w:color w:val="000000"/>
              <w:sz w:val="26"/>
              <w:szCs w:val="28"/>
            </w:rPr>
            <w:t>NAM</w:t>
          </w:r>
        </w:smartTag>
      </w:smartTag>
    </w:p>
    <w:p w:rsidR="00783AAA" w:rsidRPr="0023159F" w:rsidRDefault="00783AAA" w:rsidP="00783AAA">
      <w:pPr>
        <w:rPr>
          <w:sz w:val="26"/>
          <w:szCs w:val="28"/>
        </w:rPr>
      </w:pPr>
      <w:r w:rsidRPr="0023159F">
        <w:rPr>
          <w:rStyle w:val="Strong"/>
          <w:color w:val="000000"/>
          <w:sz w:val="26"/>
          <w:szCs w:val="28"/>
        </w:rPr>
        <w:t> XÃ QUẢNG THÁI                                   </w:t>
      </w:r>
      <w:r w:rsidRPr="0023159F">
        <w:rPr>
          <w:rStyle w:val="Strong"/>
          <w:color w:val="000000"/>
          <w:sz w:val="28"/>
          <w:szCs w:val="28"/>
        </w:rPr>
        <w:t>Độc lập -Tự do - Hạnh phúc</w:t>
      </w:r>
    </w:p>
    <w:p w:rsidR="00783AAA" w:rsidRPr="00ED646E" w:rsidRDefault="00783AAA" w:rsidP="00783A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1312" from="225pt,4.95pt" to="387pt,4.95pt"/>
        </w:pict>
      </w:r>
      <w:r>
        <w:rPr>
          <w:noProof/>
          <w:sz w:val="28"/>
          <w:szCs w:val="28"/>
        </w:rPr>
        <w:pict>
          <v:line id="_x0000_s1026" style="position:absolute;z-index:251660288" from="36pt,3.8pt" to="81pt,3.8pt"/>
        </w:pict>
      </w:r>
      <w:r w:rsidRPr="00ED646E">
        <w:rPr>
          <w:sz w:val="28"/>
          <w:szCs w:val="28"/>
        </w:rPr>
        <w:t> </w:t>
      </w:r>
    </w:p>
    <w:p w:rsidR="00783AAA" w:rsidRPr="00F4343D" w:rsidRDefault="00783AAA" w:rsidP="00783AAA">
      <w:pPr>
        <w:rPr>
          <w:rStyle w:val="Strong"/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</w:rPr>
        <w:t xml:space="preserve"> </w:t>
      </w:r>
      <w:r w:rsidRPr="00F4343D">
        <w:rPr>
          <w:rStyle w:val="Strong"/>
          <w:color w:val="000000"/>
          <w:sz w:val="26"/>
          <w:szCs w:val="26"/>
        </w:rPr>
        <w:t xml:space="preserve"> </w:t>
      </w:r>
      <w:r w:rsidRPr="00F4343D">
        <w:rPr>
          <w:rStyle w:val="Strong"/>
          <w:b w:val="0"/>
          <w:color w:val="000000"/>
          <w:sz w:val="26"/>
          <w:szCs w:val="26"/>
        </w:rPr>
        <w:t>Số</w:t>
      </w:r>
      <w:proofErr w:type="gramStart"/>
      <w:r w:rsidRPr="00F4343D">
        <w:rPr>
          <w:rStyle w:val="Strong"/>
          <w:b w:val="0"/>
          <w:color w:val="000000"/>
          <w:sz w:val="26"/>
          <w:szCs w:val="26"/>
        </w:rPr>
        <w:t>:……</w:t>
      </w:r>
      <w:proofErr w:type="gramEnd"/>
      <w:r w:rsidRPr="00F4343D">
        <w:rPr>
          <w:rStyle w:val="Strong"/>
          <w:b w:val="0"/>
          <w:color w:val="000000"/>
          <w:sz w:val="26"/>
          <w:szCs w:val="26"/>
        </w:rPr>
        <w:t>/TB-UBND</w:t>
      </w:r>
      <w:r w:rsidRPr="00F4343D">
        <w:rPr>
          <w:rStyle w:val="Strong"/>
          <w:b w:val="0"/>
          <w:color w:val="000000"/>
          <w:sz w:val="26"/>
          <w:szCs w:val="26"/>
        </w:rPr>
        <w:tab/>
      </w:r>
      <w:r w:rsidRPr="00F4343D">
        <w:rPr>
          <w:rStyle w:val="Strong"/>
          <w:b w:val="0"/>
          <w:color w:val="000000"/>
          <w:sz w:val="26"/>
          <w:szCs w:val="26"/>
        </w:rPr>
        <w:tab/>
      </w:r>
      <w:r w:rsidRPr="00F4343D">
        <w:rPr>
          <w:rStyle w:val="Strong"/>
          <w:b w:val="0"/>
          <w:color w:val="000000"/>
          <w:sz w:val="26"/>
          <w:szCs w:val="26"/>
        </w:rPr>
        <w:tab/>
      </w:r>
      <w:r w:rsidRPr="00F4343D">
        <w:rPr>
          <w:rStyle w:val="Strong"/>
          <w:b w:val="0"/>
          <w:i/>
          <w:color w:val="000000"/>
          <w:sz w:val="26"/>
          <w:szCs w:val="26"/>
        </w:rPr>
        <w:t xml:space="preserve">Quảng Thái, ngày </w:t>
      </w:r>
      <w:r>
        <w:rPr>
          <w:rStyle w:val="Strong"/>
          <w:b w:val="0"/>
          <w:i/>
          <w:color w:val="000000"/>
          <w:sz w:val="26"/>
          <w:szCs w:val="26"/>
        </w:rPr>
        <w:t>19</w:t>
      </w:r>
      <w:r w:rsidRPr="00F4343D">
        <w:rPr>
          <w:rStyle w:val="Strong"/>
          <w:b w:val="0"/>
          <w:i/>
          <w:color w:val="000000"/>
          <w:sz w:val="26"/>
          <w:szCs w:val="26"/>
        </w:rPr>
        <w:t xml:space="preserve"> tháng 11 năm 2018</w:t>
      </w:r>
    </w:p>
    <w:p w:rsidR="00783AAA" w:rsidRDefault="00783AAA" w:rsidP="00783AAA">
      <w:pPr>
        <w:jc w:val="center"/>
        <w:rPr>
          <w:rStyle w:val="Strong"/>
          <w:color w:val="000000"/>
          <w:sz w:val="28"/>
          <w:szCs w:val="28"/>
        </w:rPr>
      </w:pPr>
    </w:p>
    <w:p w:rsidR="00783AAA" w:rsidRPr="00ED646E" w:rsidRDefault="00783AAA" w:rsidP="00783AAA">
      <w:pPr>
        <w:jc w:val="center"/>
        <w:rPr>
          <w:sz w:val="28"/>
          <w:szCs w:val="28"/>
        </w:rPr>
      </w:pPr>
      <w:r w:rsidRPr="00ED646E">
        <w:rPr>
          <w:rStyle w:val="Strong"/>
          <w:color w:val="000000"/>
          <w:sz w:val="28"/>
          <w:szCs w:val="28"/>
        </w:rPr>
        <w:t>THÔNG BÁO</w:t>
      </w:r>
    </w:p>
    <w:p w:rsidR="00783AAA" w:rsidRDefault="00783AAA" w:rsidP="00783AAA">
      <w:pPr>
        <w:jc w:val="center"/>
        <w:rPr>
          <w:rStyle w:val="Strong"/>
          <w:color w:val="000000"/>
          <w:sz w:val="28"/>
          <w:szCs w:val="28"/>
        </w:rPr>
      </w:pPr>
      <w:r w:rsidRPr="00ED646E">
        <w:rPr>
          <w:rStyle w:val="Strong"/>
          <w:color w:val="000000"/>
          <w:sz w:val="28"/>
          <w:szCs w:val="28"/>
        </w:rPr>
        <w:t>Về việc bán đấu giá quyền sử dụng đất ở khu vực</w:t>
      </w:r>
      <w:r>
        <w:rPr>
          <w:rStyle w:val="Strong"/>
          <w:color w:val="000000"/>
          <w:sz w:val="28"/>
          <w:szCs w:val="28"/>
        </w:rPr>
        <w:t xml:space="preserve"> chợ Nịu và thôn Trung Kiều</w:t>
      </w:r>
    </w:p>
    <w:p w:rsidR="00783AAA" w:rsidRDefault="00783AAA" w:rsidP="00783AAA">
      <w:pPr>
        <w:jc w:val="center"/>
        <w:rPr>
          <w:rStyle w:val="Strong"/>
          <w:color w:val="000000"/>
          <w:sz w:val="28"/>
          <w:szCs w:val="28"/>
        </w:rPr>
      </w:pPr>
      <w:proofErr w:type="gramStart"/>
      <w:r>
        <w:rPr>
          <w:rStyle w:val="Strong"/>
          <w:color w:val="000000"/>
          <w:sz w:val="28"/>
          <w:szCs w:val="28"/>
        </w:rPr>
        <w:t>xã</w:t>
      </w:r>
      <w:proofErr w:type="gramEnd"/>
      <w:r>
        <w:rPr>
          <w:rStyle w:val="Strong"/>
          <w:color w:val="000000"/>
          <w:sz w:val="28"/>
          <w:szCs w:val="28"/>
        </w:rPr>
        <w:t xml:space="preserve"> Quảng Thái</w:t>
      </w:r>
    </w:p>
    <w:p w:rsidR="00783AAA" w:rsidRPr="00ED646E" w:rsidRDefault="00783AAA" w:rsidP="00783AAA">
      <w:pPr>
        <w:jc w:val="center"/>
        <w:rPr>
          <w:sz w:val="28"/>
          <w:szCs w:val="28"/>
        </w:rPr>
      </w:pPr>
    </w:p>
    <w:p w:rsidR="00783AAA" w:rsidRDefault="00783AAA" w:rsidP="00783AAA">
      <w:pPr>
        <w:jc w:val="both"/>
        <w:rPr>
          <w:sz w:val="28"/>
          <w:szCs w:val="28"/>
        </w:rPr>
      </w:pPr>
      <w:r w:rsidRPr="00ED646E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ED646E">
        <w:rPr>
          <w:sz w:val="28"/>
          <w:szCs w:val="28"/>
        </w:rPr>
        <w:t xml:space="preserve">UBND xã </w:t>
      </w:r>
      <w:r>
        <w:rPr>
          <w:sz w:val="28"/>
          <w:szCs w:val="28"/>
        </w:rPr>
        <w:t xml:space="preserve">Quảng Thái </w:t>
      </w:r>
      <w:r w:rsidRPr="00ED646E">
        <w:rPr>
          <w:sz w:val="28"/>
          <w:szCs w:val="28"/>
        </w:rPr>
        <w:t xml:space="preserve">phối hợp với </w:t>
      </w:r>
      <w:r>
        <w:rPr>
          <w:sz w:val="28"/>
          <w:szCs w:val="28"/>
        </w:rPr>
        <w:t xml:space="preserve">Trung tâm phát triển quỹ đất và </w:t>
      </w:r>
      <w:r w:rsidRPr="00ED646E">
        <w:rPr>
          <w:sz w:val="28"/>
          <w:szCs w:val="28"/>
        </w:rPr>
        <w:t xml:space="preserve">Công ty Trách nhiệm hữu hạn Một thành viên bán đấu giá Chuổi giá trị tổ chức bán đấu giá </w:t>
      </w:r>
      <w:r>
        <w:rPr>
          <w:sz w:val="28"/>
          <w:szCs w:val="28"/>
        </w:rPr>
        <w:t>07 lô đất ở khu vực chợ Nịu và 02 lô đất ở khu dân cư xen ghép thôn Trung Kiều,</w:t>
      </w:r>
      <w:r w:rsidRPr="00ED646E">
        <w:rPr>
          <w:sz w:val="28"/>
          <w:szCs w:val="28"/>
        </w:rPr>
        <w:t xml:space="preserve"> cụ thể như sau:</w:t>
      </w:r>
    </w:p>
    <w:p w:rsidR="00783AAA" w:rsidRPr="0023159F" w:rsidRDefault="00783AAA" w:rsidP="00783AAA">
      <w:pPr>
        <w:jc w:val="both"/>
        <w:rPr>
          <w:b/>
          <w:sz w:val="28"/>
          <w:szCs w:val="28"/>
        </w:rPr>
      </w:pPr>
      <w:r w:rsidRPr="0023159F">
        <w:rPr>
          <w:b/>
          <w:sz w:val="28"/>
          <w:szCs w:val="28"/>
        </w:rPr>
        <w:t xml:space="preserve">I. </w:t>
      </w:r>
      <w:r w:rsidR="0017311F">
        <w:rPr>
          <w:b/>
          <w:sz w:val="28"/>
          <w:szCs w:val="28"/>
        </w:rPr>
        <w:t>TỔNG SỐ LÔ</w:t>
      </w:r>
      <w:r w:rsidRPr="0023159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09</w:t>
      </w:r>
      <w:r w:rsidRPr="0023159F">
        <w:rPr>
          <w:b/>
          <w:sz w:val="28"/>
          <w:szCs w:val="28"/>
        </w:rPr>
        <w:t xml:space="preserve"> lô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990"/>
        <w:gridCol w:w="1023"/>
        <w:gridCol w:w="1251"/>
        <w:gridCol w:w="1181"/>
        <w:gridCol w:w="1521"/>
        <w:gridCol w:w="1273"/>
        <w:gridCol w:w="1491"/>
      </w:tblGrid>
      <w:tr w:rsidR="00783AAA" w:rsidRPr="00783AAA" w:rsidTr="0017311F">
        <w:trPr>
          <w:trHeight w:val="1226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Ký hiệu lô đất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Diện tích (m2)</w:t>
            </w:r>
          </w:p>
        </w:tc>
        <w:tc>
          <w:tcPr>
            <w:tcW w:w="1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Khu vực/ Vị trí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Đơn giá</w:t>
            </w:r>
            <w:r w:rsidRPr="00783AAA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br/>
            </w:r>
            <w:r w:rsidRPr="00783AAA">
              <w:rPr>
                <w:rFonts w:ascii="inherit" w:hAnsi="inherit" w:cs="Arial"/>
                <w:b/>
                <w:bCs/>
                <w:color w:val="000000"/>
              </w:rPr>
              <w:t>(đồng/m</w:t>
            </w:r>
            <w:r w:rsidRPr="00783AAA">
              <w:rPr>
                <w:rFonts w:ascii="inherit" w:hAnsi="inherit" w:cs="Arial"/>
                <w:b/>
                <w:bCs/>
                <w:color w:val="000000"/>
                <w:sz w:val="12"/>
                <w:vertAlign w:val="superscript"/>
              </w:rPr>
              <w:t>2</w:t>
            </w:r>
            <w:r w:rsidRPr="00783AAA">
              <w:rPr>
                <w:rFonts w:ascii="inherit" w:hAnsi="inherit" w:cs="Arial"/>
                <w:b/>
                <w:bCs/>
                <w:color w:val="000000"/>
              </w:rPr>
              <w:t>)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Giá khởi điểm (đồng/lô)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Bước giá (đồng)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Tiền đặt trước (đồng)</w:t>
            </w:r>
          </w:p>
        </w:tc>
      </w:tr>
      <w:tr w:rsidR="00783AAA" w:rsidRPr="00783AAA" w:rsidTr="0017311F">
        <w:trPr>
          <w:trHeight w:val="561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I</w:t>
            </w:r>
          </w:p>
        </w:tc>
        <w:tc>
          <w:tcPr>
            <w:tcW w:w="873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Khu dân cư thôn Đông Hồ</w:t>
            </w:r>
          </w:p>
        </w:tc>
      </w:tr>
      <w:tr w:rsidR="00783AAA" w:rsidRPr="00783AAA" w:rsidTr="0017311F">
        <w:trPr>
          <w:trHeight w:val="539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873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i/>
                <w:iCs/>
                <w:color w:val="000000"/>
              </w:rPr>
              <w:t>Bản đồ quy hoạch phân lô chi tiết điểm dân cư xã Quảng Thái, huyện Quảng Điền</w:t>
            </w:r>
          </w:p>
        </w:tc>
      </w:tr>
      <w:tr w:rsidR="00783AAA" w:rsidRPr="00783AAA" w:rsidTr="0017311F">
        <w:trPr>
          <w:trHeight w:val="70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Lô 36</w:t>
            </w:r>
          </w:p>
        </w:tc>
        <w:tc>
          <w:tcPr>
            <w:tcW w:w="10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143,9</w:t>
            </w:r>
          </w:p>
        </w:tc>
        <w:tc>
          <w:tcPr>
            <w:tcW w:w="1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750.000</w:t>
            </w:r>
          </w:p>
        </w:tc>
        <w:tc>
          <w:tcPr>
            <w:tcW w:w="1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107.925.000</w:t>
            </w:r>
          </w:p>
        </w:tc>
        <w:tc>
          <w:tcPr>
            <w:tcW w:w="12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3.000.000</w:t>
            </w:r>
          </w:p>
        </w:tc>
        <w:tc>
          <w:tcPr>
            <w:tcW w:w="14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16.000.000</w:t>
            </w:r>
          </w:p>
        </w:tc>
      </w:tr>
      <w:tr w:rsidR="00783AAA" w:rsidRPr="00783AAA" w:rsidTr="0017311F">
        <w:trPr>
          <w:trHeight w:val="132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2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2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Lô 37</w:t>
            </w:r>
          </w:p>
        </w:tc>
        <w:tc>
          <w:tcPr>
            <w:tcW w:w="10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2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134,4</w:t>
            </w:r>
          </w:p>
        </w:tc>
        <w:tc>
          <w:tcPr>
            <w:tcW w:w="1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rPr>
                <w:rFonts w:ascii="inherit" w:hAnsi="inherit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2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700.000</w:t>
            </w:r>
          </w:p>
        </w:tc>
        <w:tc>
          <w:tcPr>
            <w:tcW w:w="1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2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94.080.000</w:t>
            </w:r>
          </w:p>
        </w:tc>
        <w:tc>
          <w:tcPr>
            <w:tcW w:w="12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2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3.000.000</w:t>
            </w:r>
          </w:p>
        </w:tc>
        <w:tc>
          <w:tcPr>
            <w:tcW w:w="14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2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14.000.000</w:t>
            </w:r>
          </w:p>
        </w:tc>
      </w:tr>
      <w:tr w:rsidR="00783AAA" w:rsidRPr="00783AAA" w:rsidTr="0017311F">
        <w:trPr>
          <w:trHeight w:val="138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8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8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Lô 38</w:t>
            </w:r>
          </w:p>
        </w:tc>
        <w:tc>
          <w:tcPr>
            <w:tcW w:w="10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8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143,2</w:t>
            </w:r>
          </w:p>
        </w:tc>
        <w:tc>
          <w:tcPr>
            <w:tcW w:w="1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rPr>
                <w:rFonts w:ascii="inherit" w:hAnsi="inherit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8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700.000</w:t>
            </w:r>
          </w:p>
        </w:tc>
        <w:tc>
          <w:tcPr>
            <w:tcW w:w="1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8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100.240.000</w:t>
            </w:r>
          </w:p>
        </w:tc>
        <w:tc>
          <w:tcPr>
            <w:tcW w:w="12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8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3.000.000</w:t>
            </w:r>
          </w:p>
        </w:tc>
        <w:tc>
          <w:tcPr>
            <w:tcW w:w="14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138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15.000.000</w:t>
            </w:r>
          </w:p>
        </w:tc>
      </w:tr>
      <w:tr w:rsidR="00783AAA" w:rsidRPr="00783AAA" w:rsidTr="0017311F">
        <w:trPr>
          <w:trHeight w:val="70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Lô 39</w:t>
            </w:r>
          </w:p>
        </w:tc>
        <w:tc>
          <w:tcPr>
            <w:tcW w:w="10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190,0</w:t>
            </w:r>
          </w:p>
        </w:tc>
        <w:tc>
          <w:tcPr>
            <w:tcW w:w="1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rPr>
                <w:rFonts w:ascii="inherit" w:hAnsi="inherit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700.000</w:t>
            </w:r>
          </w:p>
        </w:tc>
        <w:tc>
          <w:tcPr>
            <w:tcW w:w="1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133.000.000</w:t>
            </w:r>
          </w:p>
        </w:tc>
        <w:tc>
          <w:tcPr>
            <w:tcW w:w="12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4.000.000</w:t>
            </w:r>
          </w:p>
        </w:tc>
        <w:tc>
          <w:tcPr>
            <w:tcW w:w="14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20.000.000</w:t>
            </w:r>
          </w:p>
        </w:tc>
      </w:tr>
      <w:tr w:rsidR="00783AAA" w:rsidRPr="00783AAA" w:rsidTr="0017311F">
        <w:trPr>
          <w:trHeight w:val="390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Lô 28</w:t>
            </w:r>
          </w:p>
        </w:tc>
        <w:tc>
          <w:tcPr>
            <w:tcW w:w="10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120,0</w:t>
            </w:r>
          </w:p>
        </w:tc>
        <w:tc>
          <w:tcPr>
            <w:tcW w:w="125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700.000</w:t>
            </w:r>
          </w:p>
        </w:tc>
        <w:tc>
          <w:tcPr>
            <w:tcW w:w="1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84.000.000</w:t>
            </w:r>
          </w:p>
        </w:tc>
        <w:tc>
          <w:tcPr>
            <w:tcW w:w="12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3.000.000</w:t>
            </w:r>
          </w:p>
        </w:tc>
        <w:tc>
          <w:tcPr>
            <w:tcW w:w="14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13.000.000</w:t>
            </w:r>
          </w:p>
        </w:tc>
      </w:tr>
      <w:tr w:rsidR="00783AAA" w:rsidRPr="00783AAA" w:rsidTr="0017311F">
        <w:trPr>
          <w:trHeight w:val="390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Lô 24</w:t>
            </w:r>
          </w:p>
        </w:tc>
        <w:tc>
          <w:tcPr>
            <w:tcW w:w="10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130,4</w:t>
            </w:r>
          </w:p>
        </w:tc>
        <w:tc>
          <w:tcPr>
            <w:tcW w:w="1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rPr>
                <w:rFonts w:ascii="inherit" w:hAnsi="inherit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600.000</w:t>
            </w:r>
          </w:p>
        </w:tc>
        <w:tc>
          <w:tcPr>
            <w:tcW w:w="1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78.240.000</w:t>
            </w:r>
          </w:p>
        </w:tc>
        <w:tc>
          <w:tcPr>
            <w:tcW w:w="12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2.000.000</w:t>
            </w:r>
          </w:p>
        </w:tc>
        <w:tc>
          <w:tcPr>
            <w:tcW w:w="14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12.000.000</w:t>
            </w:r>
          </w:p>
        </w:tc>
      </w:tr>
      <w:tr w:rsidR="00783AAA" w:rsidRPr="00783AAA" w:rsidTr="0017311F">
        <w:trPr>
          <w:trHeight w:val="390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Lô 25</w:t>
            </w:r>
          </w:p>
        </w:tc>
        <w:tc>
          <w:tcPr>
            <w:tcW w:w="10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127,4</w:t>
            </w:r>
          </w:p>
        </w:tc>
        <w:tc>
          <w:tcPr>
            <w:tcW w:w="125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rPr>
                <w:rFonts w:ascii="inherit" w:hAnsi="inherit" w:cs="Arial"/>
                <w:color w:val="000000"/>
              </w:rPr>
            </w:pPr>
          </w:p>
        </w:tc>
        <w:tc>
          <w:tcPr>
            <w:tcW w:w="1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650.000</w:t>
            </w:r>
          </w:p>
        </w:tc>
        <w:tc>
          <w:tcPr>
            <w:tcW w:w="1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82.810.000</w:t>
            </w:r>
          </w:p>
        </w:tc>
        <w:tc>
          <w:tcPr>
            <w:tcW w:w="12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2.000.000</w:t>
            </w:r>
          </w:p>
        </w:tc>
        <w:tc>
          <w:tcPr>
            <w:tcW w:w="14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12.000.000</w:t>
            </w:r>
          </w:p>
        </w:tc>
      </w:tr>
      <w:tr w:rsidR="00783AAA" w:rsidRPr="00783AAA" w:rsidTr="0017311F">
        <w:trPr>
          <w:trHeight w:val="415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II</w:t>
            </w:r>
          </w:p>
        </w:tc>
        <w:tc>
          <w:tcPr>
            <w:tcW w:w="8730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Khu dân cư thôn Trung Kiều</w:t>
            </w:r>
            <w:r>
              <w:rPr>
                <w:rFonts w:ascii="inherit" w:hAnsi="inherit" w:cs="Arial"/>
                <w:b/>
                <w:bCs/>
                <w:color w:val="000000"/>
              </w:rPr>
              <w:t>( Cạnh nhà ông Lê Minh Thế- Trung Kiều)</w:t>
            </w:r>
          </w:p>
        </w:tc>
      </w:tr>
      <w:tr w:rsidR="00783AAA" w:rsidRPr="00783AAA" w:rsidTr="0017311F">
        <w:trPr>
          <w:trHeight w:val="410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873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Bản vẽ phân lô số 1</w:t>
            </w:r>
          </w:p>
        </w:tc>
      </w:tr>
      <w:tr w:rsidR="00783AAA" w:rsidRPr="00783AAA" w:rsidTr="0017311F">
        <w:trPr>
          <w:trHeight w:val="70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Lô 02</w:t>
            </w:r>
          </w:p>
        </w:tc>
        <w:tc>
          <w:tcPr>
            <w:tcW w:w="10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310,0</w:t>
            </w:r>
          </w:p>
        </w:tc>
        <w:tc>
          <w:tcPr>
            <w:tcW w:w="12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Khu vực 3</w:t>
            </w:r>
          </w:p>
        </w:tc>
        <w:tc>
          <w:tcPr>
            <w:tcW w:w="1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100.000</w:t>
            </w:r>
          </w:p>
        </w:tc>
        <w:tc>
          <w:tcPr>
            <w:tcW w:w="1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31.000.000</w:t>
            </w:r>
          </w:p>
        </w:tc>
        <w:tc>
          <w:tcPr>
            <w:tcW w:w="12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5.000.000</w:t>
            </w:r>
          </w:p>
        </w:tc>
        <w:tc>
          <w:tcPr>
            <w:tcW w:w="14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1.500.000</w:t>
            </w:r>
          </w:p>
        </w:tc>
      </w:tr>
      <w:tr w:rsidR="00783AAA" w:rsidRPr="00783AAA" w:rsidTr="0017311F">
        <w:trPr>
          <w:trHeight w:val="70"/>
        </w:trPr>
        <w:tc>
          <w:tcPr>
            <w:tcW w:w="7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9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Lô 03</w:t>
            </w:r>
          </w:p>
        </w:tc>
        <w:tc>
          <w:tcPr>
            <w:tcW w:w="10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367,0</w:t>
            </w:r>
          </w:p>
        </w:tc>
        <w:tc>
          <w:tcPr>
            <w:tcW w:w="12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 w:line="70" w:lineRule="atLeas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100.000</w:t>
            </w:r>
          </w:p>
        </w:tc>
        <w:tc>
          <w:tcPr>
            <w:tcW w:w="1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36.700.000</w:t>
            </w:r>
          </w:p>
        </w:tc>
        <w:tc>
          <w:tcPr>
            <w:tcW w:w="127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6.000.000</w:t>
            </w:r>
          </w:p>
        </w:tc>
        <w:tc>
          <w:tcPr>
            <w:tcW w:w="14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line="70" w:lineRule="atLeast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  <w:bdr w:val="none" w:sz="0" w:space="0" w:color="auto" w:frame="1"/>
              </w:rPr>
              <w:t>1.500.000</w:t>
            </w:r>
          </w:p>
        </w:tc>
      </w:tr>
      <w:tr w:rsidR="00783AAA" w:rsidRPr="00783AAA" w:rsidTr="0017311F">
        <w:trPr>
          <w:trHeight w:val="555"/>
        </w:trPr>
        <w:tc>
          <w:tcPr>
            <w:tcW w:w="172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>
              <w:rPr>
                <w:rFonts w:ascii="inherit" w:hAnsi="inherit" w:cs="Arial"/>
                <w:color w:val="000000"/>
              </w:rPr>
              <w:t>Tổng cộng: I+II</w:t>
            </w:r>
          </w:p>
        </w:tc>
        <w:tc>
          <w:tcPr>
            <w:tcW w:w="10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ind w:left="1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b/>
                <w:bCs/>
                <w:color w:val="000000"/>
              </w:rPr>
              <w:t>747.995.000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</w:rPr>
              <w:t> 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AAA" w:rsidRPr="00783AAA" w:rsidRDefault="00783AAA" w:rsidP="00CE1A7F">
            <w:pPr>
              <w:spacing w:before="60" w:after="60"/>
              <w:jc w:val="right"/>
              <w:textAlignment w:val="baseline"/>
              <w:rPr>
                <w:rFonts w:ascii="inherit" w:hAnsi="inherit" w:cs="Arial"/>
                <w:color w:val="000000"/>
              </w:rPr>
            </w:pPr>
            <w:r w:rsidRPr="00783AAA">
              <w:rPr>
                <w:rFonts w:ascii="inherit" w:hAnsi="inherit" w:cs="Arial"/>
                <w:color w:val="000000"/>
              </w:rPr>
              <w:t> </w:t>
            </w:r>
          </w:p>
        </w:tc>
      </w:tr>
    </w:tbl>
    <w:p w:rsidR="0017311F" w:rsidRDefault="00783AAA" w:rsidP="00783AAA">
      <w:pPr>
        <w:ind w:firstLine="720"/>
        <w:jc w:val="both"/>
        <w:rPr>
          <w:rStyle w:val="Strong"/>
          <w:color w:val="000000"/>
          <w:sz w:val="28"/>
          <w:szCs w:val="28"/>
        </w:rPr>
      </w:pPr>
      <w:r w:rsidRPr="00ED646E">
        <w:rPr>
          <w:rStyle w:val="Strong"/>
          <w:color w:val="000000"/>
          <w:sz w:val="28"/>
          <w:szCs w:val="28"/>
        </w:rPr>
        <w:t xml:space="preserve">II. </w:t>
      </w:r>
      <w:r w:rsidR="0017311F">
        <w:rPr>
          <w:rStyle w:val="Strong"/>
          <w:color w:val="000000"/>
          <w:sz w:val="28"/>
          <w:szCs w:val="28"/>
        </w:rPr>
        <w:t>THỜI GIAN XEM TÀI SẢN VÀ ĐỊA ĐIỂM MUA HỒ SƠ</w:t>
      </w:r>
      <w:r w:rsidRPr="00ED646E">
        <w:rPr>
          <w:rStyle w:val="Strong"/>
          <w:color w:val="000000"/>
          <w:sz w:val="28"/>
          <w:szCs w:val="28"/>
        </w:rPr>
        <w:t>:</w:t>
      </w:r>
    </w:p>
    <w:p w:rsidR="00783AAA" w:rsidRDefault="00783AAA" w:rsidP="00783AAA">
      <w:pPr>
        <w:ind w:firstLine="720"/>
        <w:jc w:val="both"/>
        <w:rPr>
          <w:sz w:val="28"/>
          <w:szCs w:val="28"/>
        </w:rPr>
      </w:pPr>
      <w:r w:rsidRPr="00ED646E">
        <w:rPr>
          <w:sz w:val="28"/>
          <w:szCs w:val="28"/>
        </w:rPr>
        <w:t xml:space="preserve">Từ ngày ra thông báo đến </w:t>
      </w:r>
      <w:r w:rsidRPr="0017311F">
        <w:rPr>
          <w:b/>
          <w:color w:val="FF0000"/>
          <w:sz w:val="28"/>
          <w:szCs w:val="28"/>
        </w:rPr>
        <w:t>16h30 giờ ngày 17/12/2018</w:t>
      </w:r>
      <w:r>
        <w:rPr>
          <w:sz w:val="28"/>
          <w:szCs w:val="28"/>
        </w:rPr>
        <w:t xml:space="preserve">, tại UBND </w:t>
      </w:r>
      <w:proofErr w:type="gramStart"/>
      <w:r>
        <w:rPr>
          <w:sz w:val="28"/>
          <w:szCs w:val="28"/>
        </w:rPr>
        <w:t>xã(</w:t>
      </w:r>
      <w:proofErr w:type="gramEnd"/>
      <w:r>
        <w:rPr>
          <w:sz w:val="28"/>
          <w:szCs w:val="28"/>
        </w:rPr>
        <w:t>qua đ/c Hùng, Thùy- CC ĐC-XD)</w:t>
      </w:r>
    </w:p>
    <w:p w:rsidR="00783AAA" w:rsidRPr="00783AAA" w:rsidRDefault="00783AAA" w:rsidP="00783AAA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408EF">
        <w:rPr>
          <w:b/>
          <w:bCs/>
          <w:color w:val="000000"/>
          <w:sz w:val="28"/>
          <w:szCs w:val="28"/>
        </w:rPr>
        <w:t>III. </w:t>
      </w:r>
      <w:r w:rsidR="0017311F">
        <w:rPr>
          <w:b/>
          <w:bCs/>
          <w:color w:val="000000"/>
          <w:sz w:val="28"/>
          <w:szCs w:val="28"/>
        </w:rPr>
        <w:t xml:space="preserve">THỜI GIAN, ĐỊA ĐIỂM NỘP HỒ </w:t>
      </w:r>
      <w:proofErr w:type="gramStart"/>
      <w:r w:rsidR="0017311F">
        <w:rPr>
          <w:b/>
          <w:bCs/>
          <w:color w:val="000000"/>
          <w:sz w:val="28"/>
          <w:szCs w:val="28"/>
        </w:rPr>
        <w:t>SƠ</w:t>
      </w:r>
      <w:proofErr w:type="gramEnd"/>
      <w:r w:rsidR="0017311F">
        <w:rPr>
          <w:b/>
          <w:bCs/>
          <w:color w:val="000000"/>
          <w:sz w:val="28"/>
          <w:szCs w:val="28"/>
        </w:rPr>
        <w:t xml:space="preserve"> ĐẤU GIÁ: </w:t>
      </w:r>
    </w:p>
    <w:p w:rsidR="00783AAA" w:rsidRDefault="00783AAA" w:rsidP="00783AAA">
      <w:pPr>
        <w:ind w:firstLine="72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783AAA">
        <w:rPr>
          <w:color w:val="000000"/>
          <w:sz w:val="28"/>
          <w:szCs w:val="28"/>
          <w:bdr w:val="none" w:sz="0" w:space="0" w:color="auto" w:frame="1"/>
        </w:rPr>
        <w:t>-Tại Công ty đấu giá hợp danh Chuỗi Giá Trị: Từ ngày ra thông báo cho đến </w:t>
      </w:r>
      <w:r w:rsidRPr="0017311F">
        <w:rPr>
          <w:b/>
          <w:bCs/>
          <w:color w:val="FF0000"/>
          <w:sz w:val="28"/>
          <w:szCs w:val="28"/>
        </w:rPr>
        <w:t>16h30 ngày 17/12/2018</w:t>
      </w:r>
      <w:r w:rsidRPr="00783AAA">
        <w:rPr>
          <w:color w:val="FF0000"/>
          <w:sz w:val="28"/>
          <w:szCs w:val="28"/>
          <w:bdr w:val="none" w:sz="0" w:space="0" w:color="auto" w:frame="1"/>
        </w:rPr>
        <w:t>.</w:t>
      </w:r>
    </w:p>
    <w:p w:rsidR="0017311F" w:rsidRDefault="00B408EF" w:rsidP="00783AAA">
      <w:pPr>
        <w:ind w:firstLine="72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</w:t>
      </w:r>
      <w:r w:rsidR="00783AAA" w:rsidRPr="00B408EF">
        <w:rPr>
          <w:b/>
          <w:bCs/>
          <w:color w:val="000000"/>
          <w:sz w:val="28"/>
          <w:szCs w:val="28"/>
        </w:rPr>
        <w:t xml:space="preserve">. </w:t>
      </w:r>
      <w:r w:rsidR="0017311F">
        <w:rPr>
          <w:b/>
          <w:bCs/>
          <w:color w:val="000000"/>
          <w:sz w:val="28"/>
          <w:szCs w:val="28"/>
        </w:rPr>
        <w:t>THỜI GIAN, ĐỊA ĐIỂM NỘP TIỀN ĐẶT TRƯỚC</w:t>
      </w:r>
      <w:r w:rsidR="00783AAA" w:rsidRPr="00B408EF">
        <w:rPr>
          <w:b/>
          <w:bCs/>
          <w:color w:val="000000"/>
          <w:sz w:val="28"/>
          <w:szCs w:val="28"/>
        </w:rPr>
        <w:t>:</w:t>
      </w:r>
    </w:p>
    <w:p w:rsidR="00783AAA" w:rsidRPr="00783AAA" w:rsidRDefault="00783AAA" w:rsidP="00783AAA">
      <w:pPr>
        <w:ind w:firstLine="720"/>
        <w:jc w:val="both"/>
        <w:textAlignment w:val="baseline"/>
        <w:rPr>
          <w:b/>
          <w:color w:val="FF0000"/>
          <w:sz w:val="28"/>
          <w:szCs w:val="28"/>
        </w:rPr>
      </w:pPr>
      <w:proofErr w:type="gramStart"/>
      <w:r w:rsidRPr="00783AAA">
        <w:rPr>
          <w:color w:val="000000"/>
          <w:sz w:val="28"/>
          <w:szCs w:val="28"/>
          <w:bdr w:val="none" w:sz="0" w:space="0" w:color="auto" w:frame="1"/>
        </w:rPr>
        <w:t xml:space="preserve">Từ 8h00 ngày </w:t>
      </w:r>
      <w:r w:rsidRPr="00783AAA">
        <w:rPr>
          <w:b/>
          <w:color w:val="FF0000"/>
          <w:sz w:val="28"/>
          <w:szCs w:val="28"/>
          <w:bdr w:val="none" w:sz="0" w:space="0" w:color="auto" w:frame="1"/>
        </w:rPr>
        <w:t>17/12/2018 đến 16h30 ngày 19/12/2018.</w:t>
      </w:r>
      <w:proofErr w:type="gramEnd"/>
    </w:p>
    <w:p w:rsidR="00783AAA" w:rsidRPr="00783AAA" w:rsidRDefault="00783AAA" w:rsidP="00B408EF">
      <w:pPr>
        <w:ind w:firstLine="720"/>
        <w:textAlignment w:val="baseline"/>
        <w:rPr>
          <w:color w:val="000000"/>
          <w:sz w:val="28"/>
          <w:szCs w:val="28"/>
        </w:rPr>
      </w:pPr>
      <w:r w:rsidRPr="00783AAA">
        <w:rPr>
          <w:color w:val="000000"/>
          <w:sz w:val="28"/>
          <w:szCs w:val="28"/>
          <w:bdr w:val="none" w:sz="0" w:space="0" w:color="auto" w:frame="1"/>
        </w:rPr>
        <w:lastRenderedPageBreak/>
        <w:t>Khách hàng nộp tiền đặt trước bằng cách chuyển khoản vào tài khoản của công ty đấu giá hợp danh Chuỗi Giá Trị:</w:t>
      </w:r>
    </w:p>
    <w:p w:rsidR="00783AAA" w:rsidRPr="00783AAA" w:rsidRDefault="00783AAA" w:rsidP="00B408EF">
      <w:pPr>
        <w:ind w:firstLine="720"/>
        <w:textAlignment w:val="baseline"/>
        <w:rPr>
          <w:color w:val="000000"/>
          <w:sz w:val="28"/>
          <w:szCs w:val="28"/>
        </w:rPr>
      </w:pPr>
      <w:r w:rsidRPr="00783AAA">
        <w:rPr>
          <w:color w:val="000000"/>
          <w:sz w:val="28"/>
          <w:szCs w:val="28"/>
          <w:bdr w:val="none" w:sz="0" w:space="0" w:color="auto" w:frame="1"/>
        </w:rPr>
        <w:t>-Số tài khoản: </w:t>
      </w:r>
      <w:r w:rsidRPr="00B408EF">
        <w:rPr>
          <w:b/>
          <w:bCs/>
          <w:color w:val="000000"/>
          <w:sz w:val="28"/>
          <w:szCs w:val="28"/>
        </w:rPr>
        <w:t>55110003443345 </w:t>
      </w:r>
      <w:r w:rsidRPr="00783AAA">
        <w:rPr>
          <w:color w:val="000000"/>
          <w:sz w:val="28"/>
          <w:szCs w:val="28"/>
          <w:bdr w:val="none" w:sz="0" w:space="0" w:color="auto" w:frame="1"/>
        </w:rPr>
        <w:t>tại Ngân hàng TMCP Đầu tư và Phát triển Việt Nam – Chi nhánh Thừa Thiên Huế.</w:t>
      </w:r>
    </w:p>
    <w:p w:rsidR="00783AAA" w:rsidRPr="00783AAA" w:rsidRDefault="00783AAA" w:rsidP="00B408EF">
      <w:pPr>
        <w:ind w:firstLine="720"/>
        <w:jc w:val="both"/>
        <w:textAlignment w:val="baseline"/>
        <w:rPr>
          <w:color w:val="000000"/>
          <w:sz w:val="28"/>
          <w:szCs w:val="28"/>
        </w:rPr>
      </w:pPr>
      <w:r w:rsidRPr="00783AAA">
        <w:rPr>
          <w:color w:val="000000"/>
          <w:sz w:val="28"/>
          <w:szCs w:val="28"/>
          <w:bdr w:val="none" w:sz="0" w:space="0" w:color="auto" w:frame="1"/>
        </w:rPr>
        <w:t>-Số tài khoản </w:t>
      </w:r>
      <w:r w:rsidRPr="00B408EF">
        <w:rPr>
          <w:b/>
          <w:bCs/>
          <w:color w:val="000000"/>
          <w:sz w:val="28"/>
          <w:szCs w:val="28"/>
        </w:rPr>
        <w:t>118000137557</w:t>
      </w:r>
      <w:r w:rsidRPr="00783AAA">
        <w:rPr>
          <w:color w:val="000000"/>
          <w:sz w:val="28"/>
          <w:szCs w:val="28"/>
          <w:bdr w:val="none" w:sz="0" w:space="0" w:color="auto" w:frame="1"/>
        </w:rPr>
        <w:t> tại Ngân hàng TMCP Công Thương Việt Nam - Chi nhánh Nam Thừa Thiên Huế</w:t>
      </w:r>
    </w:p>
    <w:p w:rsidR="00783AAA" w:rsidRPr="00783AAA" w:rsidRDefault="00783AAA" w:rsidP="00B408EF">
      <w:pPr>
        <w:ind w:firstLine="720"/>
        <w:jc w:val="both"/>
        <w:textAlignment w:val="baseline"/>
        <w:rPr>
          <w:color w:val="000000"/>
          <w:sz w:val="28"/>
          <w:szCs w:val="28"/>
        </w:rPr>
      </w:pPr>
      <w:r w:rsidRPr="00783AAA">
        <w:rPr>
          <w:color w:val="000000"/>
          <w:sz w:val="28"/>
          <w:szCs w:val="28"/>
          <w:bdr w:val="none" w:sz="0" w:space="0" w:color="auto" w:frame="1"/>
        </w:rPr>
        <w:t>-Số tài khoản </w:t>
      </w:r>
      <w:r w:rsidRPr="00B408EF">
        <w:rPr>
          <w:b/>
          <w:bCs/>
          <w:color w:val="000000"/>
          <w:sz w:val="28"/>
          <w:szCs w:val="28"/>
        </w:rPr>
        <w:t>0161001697979</w:t>
      </w:r>
      <w:r w:rsidRPr="00783AAA">
        <w:rPr>
          <w:color w:val="000000"/>
          <w:sz w:val="28"/>
          <w:szCs w:val="28"/>
          <w:bdr w:val="none" w:sz="0" w:space="0" w:color="auto" w:frame="1"/>
        </w:rPr>
        <w:t> tại Ngân hàng TMCP Ngoại thương Việt Nam- Chi nhánh Huế</w:t>
      </w:r>
    </w:p>
    <w:p w:rsidR="00783AAA" w:rsidRPr="00783AAA" w:rsidRDefault="00B408EF" w:rsidP="00B408EF">
      <w:pPr>
        <w:ind w:firstLine="720"/>
        <w:jc w:val="both"/>
        <w:textAlignment w:val="baseline"/>
        <w:rPr>
          <w:b/>
          <w:sz w:val="28"/>
          <w:szCs w:val="28"/>
        </w:rPr>
      </w:pPr>
      <w:r w:rsidRPr="00B408EF">
        <w:rPr>
          <w:b/>
          <w:bCs/>
          <w:sz w:val="28"/>
          <w:szCs w:val="28"/>
        </w:rPr>
        <w:t>V</w:t>
      </w:r>
      <w:r w:rsidR="00783AAA" w:rsidRPr="00B408EF">
        <w:rPr>
          <w:b/>
          <w:bCs/>
          <w:sz w:val="28"/>
          <w:szCs w:val="28"/>
        </w:rPr>
        <w:t>. THỜI GIAN, ĐỊA ĐIỂM TỔ CHỨC ĐẤU GIÁ:</w:t>
      </w:r>
    </w:p>
    <w:p w:rsidR="00783AAA" w:rsidRPr="00783AAA" w:rsidRDefault="00783AAA" w:rsidP="00B408EF">
      <w:pPr>
        <w:ind w:firstLine="720"/>
        <w:jc w:val="both"/>
        <w:textAlignment w:val="baseline"/>
        <w:rPr>
          <w:color w:val="FF0000"/>
          <w:sz w:val="28"/>
          <w:szCs w:val="28"/>
        </w:rPr>
      </w:pPr>
      <w:r w:rsidRPr="00B408EF">
        <w:rPr>
          <w:b/>
          <w:bCs/>
          <w:color w:val="000000"/>
          <w:sz w:val="28"/>
          <w:szCs w:val="28"/>
        </w:rPr>
        <w:t xml:space="preserve">Thời gian tổ chức đấu giá: </w:t>
      </w:r>
      <w:r w:rsidRPr="0017311F">
        <w:rPr>
          <w:b/>
          <w:bCs/>
          <w:color w:val="FF0000"/>
          <w:sz w:val="28"/>
          <w:szCs w:val="28"/>
        </w:rPr>
        <w:t>08h00 ngày 20/12/2018.</w:t>
      </w:r>
    </w:p>
    <w:p w:rsidR="00783AAA" w:rsidRDefault="00783AAA" w:rsidP="00B408EF">
      <w:pPr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8EF">
        <w:rPr>
          <w:b/>
          <w:bCs/>
          <w:color w:val="000000"/>
          <w:sz w:val="28"/>
          <w:szCs w:val="28"/>
        </w:rPr>
        <w:t>Địa điểm tổ chức đấu giá:</w:t>
      </w:r>
      <w:r w:rsidRPr="00783AAA">
        <w:rPr>
          <w:color w:val="000000"/>
          <w:sz w:val="28"/>
          <w:szCs w:val="28"/>
          <w:bdr w:val="none" w:sz="0" w:space="0" w:color="auto" w:frame="1"/>
        </w:rPr>
        <w:t xml:space="preserve"> tại </w:t>
      </w:r>
      <w:r w:rsidR="0017311F">
        <w:rPr>
          <w:color w:val="000000"/>
          <w:sz w:val="28"/>
          <w:szCs w:val="28"/>
          <w:bdr w:val="none" w:sz="0" w:space="0" w:color="auto" w:frame="1"/>
        </w:rPr>
        <w:t>Nhà văn hóa</w:t>
      </w:r>
      <w:r w:rsidRPr="00783AAA">
        <w:rPr>
          <w:color w:val="000000"/>
          <w:sz w:val="28"/>
          <w:szCs w:val="28"/>
          <w:bdr w:val="none" w:sz="0" w:space="0" w:color="auto" w:frame="1"/>
        </w:rPr>
        <w:t xml:space="preserve"> xã Quảng Thái, huyện Quảng Điền.</w:t>
      </w:r>
    </w:p>
    <w:p w:rsidR="00B408EF" w:rsidRPr="00B408EF" w:rsidRDefault="00B408EF" w:rsidP="00B408E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408EF">
        <w:rPr>
          <w:rStyle w:val="Strong"/>
          <w:color w:val="000000"/>
          <w:sz w:val="28"/>
          <w:szCs w:val="28"/>
          <w:bdr w:val="none" w:sz="0" w:space="0" w:color="auto" w:frame="1"/>
        </w:rPr>
        <w:t>VI. ĐỊA CHỈ LIÊN HỆ:</w:t>
      </w:r>
    </w:p>
    <w:p w:rsidR="00B408EF" w:rsidRPr="00B408EF" w:rsidRDefault="00B408EF" w:rsidP="00B408E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408EF">
        <w:rPr>
          <w:color w:val="000000"/>
          <w:sz w:val="28"/>
          <w:szCs w:val="28"/>
          <w:bdr w:val="none" w:sz="0" w:space="0" w:color="auto" w:frame="1"/>
        </w:rPr>
        <w:t>- Trung tâm Phát triển quỹ đất huyện Quảng Điền - thị trấn Sịa, huyện Quảng Điền, tỉnh Thừa Thiên Huế, Số điện thoại: 0234.3566607.</w:t>
      </w:r>
    </w:p>
    <w:p w:rsidR="00B408EF" w:rsidRPr="00B408EF" w:rsidRDefault="00B408EF" w:rsidP="00B408E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408EF">
        <w:rPr>
          <w:rStyle w:val="Strong"/>
          <w:color w:val="000000"/>
          <w:sz w:val="28"/>
          <w:szCs w:val="28"/>
          <w:bdr w:val="none" w:sz="0" w:space="0" w:color="auto" w:frame="1"/>
        </w:rPr>
        <w:t>-</w:t>
      </w:r>
      <w:r w:rsidRPr="00B408EF">
        <w:rPr>
          <w:color w:val="000000"/>
          <w:sz w:val="28"/>
          <w:szCs w:val="28"/>
          <w:bdr w:val="none" w:sz="0" w:space="0" w:color="auto" w:frame="1"/>
        </w:rPr>
        <w:t> Công ty đấu giá hợp danh Chuỗi Giá Trị - 78 Bến Nghé, phường Phú Hội, thành phố Huế, Số điện thoại: 02343.895.995, Website:chuoigiatri.com.vn</w:t>
      </w:r>
    </w:p>
    <w:p w:rsidR="00B408EF" w:rsidRPr="00783AAA" w:rsidRDefault="00B408EF" w:rsidP="00B408EF">
      <w:pPr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783AAA" w:rsidRPr="00B408EF" w:rsidRDefault="00783AAA" w:rsidP="00783AAA">
      <w:pPr>
        <w:jc w:val="both"/>
        <w:rPr>
          <w:rStyle w:val="Emphasis"/>
          <w:b/>
          <w:bCs/>
          <w:color w:val="000000"/>
          <w:sz w:val="28"/>
          <w:szCs w:val="28"/>
        </w:rPr>
      </w:pPr>
    </w:p>
    <w:p w:rsidR="00783AAA" w:rsidRDefault="00783AAA" w:rsidP="00783AAA">
      <w:pPr>
        <w:ind w:firstLine="720"/>
        <w:jc w:val="both"/>
        <w:rPr>
          <w:rStyle w:val="Emphasis"/>
          <w:b/>
          <w:bCs/>
          <w:color w:val="000000"/>
          <w:sz w:val="28"/>
          <w:szCs w:val="28"/>
        </w:rPr>
      </w:pPr>
      <w:proofErr w:type="gramStart"/>
      <w:r w:rsidRPr="00ED646E">
        <w:rPr>
          <w:rStyle w:val="Emphasis"/>
          <w:b/>
          <w:bCs/>
          <w:color w:val="000000"/>
          <w:sz w:val="28"/>
          <w:szCs w:val="28"/>
        </w:rPr>
        <w:t xml:space="preserve">Vậy, UBND xã thông báo để </w:t>
      </w:r>
      <w:r>
        <w:rPr>
          <w:rStyle w:val="Emphasis"/>
          <w:b/>
          <w:bCs/>
          <w:color w:val="000000"/>
          <w:sz w:val="28"/>
          <w:szCs w:val="28"/>
        </w:rPr>
        <w:t xml:space="preserve">bà con nhân dân trong và ngoài xã được biết, </w:t>
      </w:r>
      <w:r w:rsidRPr="00ED646E">
        <w:rPr>
          <w:rStyle w:val="Emphasis"/>
          <w:b/>
          <w:bCs/>
          <w:color w:val="000000"/>
          <w:sz w:val="28"/>
          <w:szCs w:val="28"/>
        </w:rPr>
        <w:t>ai có nhu cầu liên hệ tại UBND xã để mua hồ sơ và tham gia đăng ký đấu giá.</w:t>
      </w:r>
      <w:proofErr w:type="gramEnd"/>
    </w:p>
    <w:p w:rsidR="000B742D" w:rsidRDefault="000B742D" w:rsidP="00783AAA">
      <w:pPr>
        <w:ind w:firstLine="720"/>
        <w:jc w:val="both"/>
        <w:rPr>
          <w:rStyle w:val="Emphasis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968"/>
      </w:tblGrid>
      <w:tr w:rsidR="000B742D" w:rsidTr="000B742D">
        <w:tc>
          <w:tcPr>
            <w:tcW w:w="4968" w:type="dxa"/>
          </w:tcPr>
          <w:p w:rsidR="000B742D" w:rsidRPr="000B742D" w:rsidRDefault="000B742D" w:rsidP="00783AAA">
            <w:pPr>
              <w:jc w:val="both"/>
              <w:rPr>
                <w:b/>
                <w:i/>
              </w:rPr>
            </w:pPr>
            <w:r w:rsidRPr="000B742D">
              <w:rPr>
                <w:b/>
                <w:i/>
              </w:rPr>
              <w:t xml:space="preserve">Nơi nhận: </w:t>
            </w:r>
          </w:p>
          <w:p w:rsidR="000B742D" w:rsidRPr="000B742D" w:rsidRDefault="000B742D" w:rsidP="00783AAA">
            <w:pPr>
              <w:jc w:val="both"/>
              <w:rPr>
                <w:sz w:val="22"/>
                <w:szCs w:val="22"/>
              </w:rPr>
            </w:pPr>
            <w:r w:rsidRPr="000B742D">
              <w:rPr>
                <w:sz w:val="22"/>
                <w:szCs w:val="22"/>
              </w:rPr>
              <w:t>-Thường trực Đảng ủy;</w:t>
            </w:r>
          </w:p>
          <w:p w:rsidR="000B742D" w:rsidRPr="000B742D" w:rsidRDefault="000B742D" w:rsidP="00783AAA">
            <w:pPr>
              <w:jc w:val="both"/>
              <w:rPr>
                <w:sz w:val="22"/>
                <w:szCs w:val="22"/>
              </w:rPr>
            </w:pPr>
            <w:r w:rsidRPr="000B742D">
              <w:rPr>
                <w:sz w:val="22"/>
                <w:szCs w:val="22"/>
              </w:rPr>
              <w:t>- Thường trực HĐND;</w:t>
            </w:r>
          </w:p>
          <w:p w:rsidR="000B742D" w:rsidRPr="000B742D" w:rsidRDefault="000B742D" w:rsidP="00783AAA">
            <w:pPr>
              <w:jc w:val="both"/>
              <w:rPr>
                <w:sz w:val="22"/>
                <w:szCs w:val="22"/>
              </w:rPr>
            </w:pPr>
            <w:r w:rsidRPr="000B742D">
              <w:rPr>
                <w:sz w:val="22"/>
                <w:szCs w:val="22"/>
              </w:rPr>
              <w:t>- CT, PCT UBND;</w:t>
            </w:r>
          </w:p>
          <w:p w:rsidR="000B742D" w:rsidRPr="000B742D" w:rsidRDefault="000B742D" w:rsidP="00783AAA">
            <w:pPr>
              <w:jc w:val="both"/>
              <w:rPr>
                <w:sz w:val="22"/>
                <w:szCs w:val="22"/>
              </w:rPr>
            </w:pPr>
            <w:r w:rsidRPr="000B742D">
              <w:rPr>
                <w:sz w:val="22"/>
                <w:szCs w:val="22"/>
              </w:rPr>
              <w:t>- Thường trực UBMT;</w:t>
            </w:r>
          </w:p>
          <w:p w:rsidR="000B742D" w:rsidRPr="000B742D" w:rsidRDefault="000B742D" w:rsidP="00783AAA">
            <w:pPr>
              <w:jc w:val="both"/>
              <w:rPr>
                <w:sz w:val="22"/>
                <w:szCs w:val="22"/>
              </w:rPr>
            </w:pPr>
            <w:r w:rsidRPr="000B742D">
              <w:rPr>
                <w:sz w:val="22"/>
                <w:szCs w:val="22"/>
              </w:rPr>
              <w:t>- BĐH các thôn;</w:t>
            </w:r>
          </w:p>
          <w:p w:rsidR="000B742D" w:rsidRPr="000B742D" w:rsidRDefault="000B742D" w:rsidP="00783AAA">
            <w:pPr>
              <w:jc w:val="both"/>
              <w:rPr>
                <w:sz w:val="22"/>
                <w:szCs w:val="22"/>
              </w:rPr>
            </w:pPr>
            <w:r w:rsidRPr="000B742D">
              <w:rPr>
                <w:sz w:val="22"/>
                <w:szCs w:val="22"/>
              </w:rPr>
              <w:t>- Các CC ĐC- XD- NN-MT;</w:t>
            </w:r>
          </w:p>
          <w:p w:rsidR="000B742D" w:rsidRPr="000B742D" w:rsidRDefault="000B742D" w:rsidP="00783AAA">
            <w:pPr>
              <w:jc w:val="both"/>
              <w:rPr>
                <w:sz w:val="22"/>
                <w:szCs w:val="22"/>
              </w:rPr>
            </w:pPr>
            <w:r w:rsidRPr="000B742D">
              <w:rPr>
                <w:sz w:val="22"/>
                <w:szCs w:val="22"/>
              </w:rPr>
              <w:t>-Trang TTĐT, Đài truyền thanh;</w:t>
            </w:r>
          </w:p>
          <w:p w:rsidR="000B742D" w:rsidRPr="000B742D" w:rsidRDefault="000B742D" w:rsidP="00783AAA">
            <w:pPr>
              <w:jc w:val="both"/>
              <w:rPr>
                <w:sz w:val="22"/>
                <w:szCs w:val="22"/>
              </w:rPr>
            </w:pPr>
            <w:r w:rsidRPr="000B742D">
              <w:rPr>
                <w:sz w:val="22"/>
                <w:szCs w:val="22"/>
              </w:rPr>
              <w:t>- Niêm yết tại trụ sở UBND xã, các thôn;</w:t>
            </w:r>
          </w:p>
          <w:p w:rsidR="000B742D" w:rsidRDefault="000B742D" w:rsidP="00783AAA">
            <w:pPr>
              <w:jc w:val="both"/>
              <w:rPr>
                <w:sz w:val="28"/>
                <w:szCs w:val="28"/>
              </w:rPr>
            </w:pPr>
            <w:r w:rsidRPr="000B742D">
              <w:rPr>
                <w:sz w:val="22"/>
                <w:szCs w:val="22"/>
              </w:rPr>
              <w:t>- Lưu VP.</w:t>
            </w:r>
          </w:p>
        </w:tc>
        <w:tc>
          <w:tcPr>
            <w:tcW w:w="4968" w:type="dxa"/>
          </w:tcPr>
          <w:p w:rsidR="000B742D" w:rsidRPr="000B742D" w:rsidRDefault="000B742D" w:rsidP="000B742D">
            <w:pPr>
              <w:jc w:val="center"/>
              <w:rPr>
                <w:rStyle w:val="Strong"/>
                <w:color w:val="000000"/>
                <w:sz w:val="26"/>
                <w:szCs w:val="26"/>
              </w:rPr>
            </w:pPr>
            <w:r w:rsidRPr="000B742D">
              <w:rPr>
                <w:rStyle w:val="Strong"/>
                <w:color w:val="000000"/>
                <w:sz w:val="26"/>
                <w:szCs w:val="26"/>
              </w:rPr>
              <w:t>TM.ỦY BAN NHÂN DÂN</w:t>
            </w:r>
          </w:p>
          <w:p w:rsidR="000B742D" w:rsidRPr="000B742D" w:rsidRDefault="000B742D" w:rsidP="000B742D">
            <w:pPr>
              <w:jc w:val="center"/>
              <w:rPr>
                <w:rStyle w:val="Strong"/>
                <w:color w:val="000000"/>
                <w:sz w:val="26"/>
                <w:szCs w:val="26"/>
              </w:rPr>
            </w:pPr>
            <w:r w:rsidRPr="000B742D">
              <w:rPr>
                <w:rStyle w:val="Strong"/>
                <w:color w:val="000000"/>
                <w:sz w:val="26"/>
                <w:szCs w:val="26"/>
              </w:rPr>
              <w:t>KT.CHỦ TỊCH</w:t>
            </w:r>
          </w:p>
          <w:p w:rsidR="000B742D" w:rsidRPr="000B742D" w:rsidRDefault="000B742D" w:rsidP="000B742D">
            <w:pPr>
              <w:jc w:val="center"/>
              <w:rPr>
                <w:rStyle w:val="Strong"/>
                <w:color w:val="000000"/>
                <w:sz w:val="26"/>
                <w:szCs w:val="26"/>
              </w:rPr>
            </w:pPr>
            <w:r w:rsidRPr="000B742D">
              <w:rPr>
                <w:rStyle w:val="Strong"/>
                <w:color w:val="000000"/>
                <w:sz w:val="26"/>
                <w:szCs w:val="26"/>
              </w:rPr>
              <w:t>PHÓ CHỦ TỊCH</w:t>
            </w:r>
          </w:p>
          <w:p w:rsidR="000B742D" w:rsidRDefault="000B742D" w:rsidP="000B742D">
            <w:pPr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  <w:p w:rsidR="000B742D" w:rsidRDefault="000B742D" w:rsidP="000B742D">
            <w:pPr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  <w:p w:rsidR="000B742D" w:rsidRDefault="000B742D" w:rsidP="000B742D">
            <w:pPr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  <w:p w:rsidR="000B742D" w:rsidRDefault="000B742D" w:rsidP="000B742D">
            <w:pPr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  <w:p w:rsidR="000B742D" w:rsidRDefault="000B742D" w:rsidP="000B742D">
            <w:pPr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  <w:p w:rsidR="000B742D" w:rsidRDefault="000B742D" w:rsidP="000B742D">
            <w:pPr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Phạm Công Phước</w:t>
            </w:r>
          </w:p>
          <w:p w:rsidR="000B742D" w:rsidRDefault="000B742D" w:rsidP="00783AAA">
            <w:pPr>
              <w:jc w:val="both"/>
              <w:rPr>
                <w:sz w:val="28"/>
                <w:szCs w:val="28"/>
              </w:rPr>
            </w:pPr>
          </w:p>
        </w:tc>
      </w:tr>
    </w:tbl>
    <w:p w:rsidR="000B742D" w:rsidRPr="00ED646E" w:rsidRDefault="000B742D" w:rsidP="00783AAA">
      <w:pPr>
        <w:ind w:firstLine="720"/>
        <w:jc w:val="both"/>
        <w:rPr>
          <w:sz w:val="28"/>
          <w:szCs w:val="28"/>
        </w:rPr>
      </w:pPr>
    </w:p>
    <w:p w:rsidR="00783AAA" w:rsidRPr="00ED646E" w:rsidRDefault="00783AAA" w:rsidP="00783AAA">
      <w:pPr>
        <w:jc w:val="both"/>
        <w:rPr>
          <w:sz w:val="28"/>
          <w:szCs w:val="28"/>
        </w:rPr>
      </w:pPr>
      <w:r w:rsidRPr="00ED646E">
        <w:rPr>
          <w:sz w:val="28"/>
          <w:szCs w:val="28"/>
        </w:rPr>
        <w:t> </w:t>
      </w:r>
    </w:p>
    <w:p w:rsidR="00783AAA" w:rsidRDefault="00783AAA" w:rsidP="000B742D">
      <w:pPr>
        <w:jc w:val="both"/>
        <w:rPr>
          <w:rStyle w:val="Strong"/>
          <w:color w:val="000000"/>
          <w:sz w:val="28"/>
          <w:szCs w:val="28"/>
        </w:rPr>
      </w:pPr>
      <w:r w:rsidRPr="00ED646E">
        <w:rPr>
          <w:rStyle w:val="Strong"/>
          <w:color w:val="000000"/>
          <w:sz w:val="28"/>
          <w:szCs w:val="28"/>
        </w:rPr>
        <w:t xml:space="preserve">                      </w:t>
      </w:r>
      <w:r>
        <w:rPr>
          <w:rStyle w:val="Strong"/>
          <w:color w:val="000000"/>
          <w:sz w:val="28"/>
          <w:szCs w:val="28"/>
        </w:rPr>
        <w:t xml:space="preserve">                                          </w:t>
      </w:r>
    </w:p>
    <w:p w:rsidR="000B742D" w:rsidRDefault="000B742D">
      <w:pPr>
        <w:jc w:val="both"/>
        <w:rPr>
          <w:rStyle w:val="Strong"/>
          <w:color w:val="000000"/>
          <w:sz w:val="28"/>
          <w:szCs w:val="28"/>
        </w:rPr>
      </w:pPr>
    </w:p>
    <w:sectPr w:rsidR="000B742D" w:rsidSect="009C442F">
      <w:pgSz w:w="12240" w:h="15840"/>
      <w:pgMar w:top="1078" w:right="72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783AAA"/>
    <w:rsid w:val="000B742D"/>
    <w:rsid w:val="0017311F"/>
    <w:rsid w:val="00317A38"/>
    <w:rsid w:val="003C13C0"/>
    <w:rsid w:val="007760C2"/>
    <w:rsid w:val="00783AAA"/>
    <w:rsid w:val="00A16A33"/>
    <w:rsid w:val="00B408EF"/>
    <w:rsid w:val="00D31FDB"/>
    <w:rsid w:val="00DA040E"/>
    <w:rsid w:val="00DB23C8"/>
    <w:rsid w:val="00F2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AA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AAA"/>
    <w:rPr>
      <w:b/>
      <w:bCs/>
    </w:rPr>
  </w:style>
  <w:style w:type="character" w:styleId="Emphasis">
    <w:name w:val="Emphasis"/>
    <w:basedOn w:val="DefaultParagraphFont"/>
    <w:uiPriority w:val="20"/>
    <w:qFormat/>
    <w:rsid w:val="00783AAA"/>
    <w:rPr>
      <w:i/>
      <w:iCs/>
    </w:rPr>
  </w:style>
  <w:style w:type="paragraph" w:styleId="NormalWeb">
    <w:name w:val="Normal (Web)"/>
    <w:basedOn w:val="Normal"/>
    <w:uiPriority w:val="99"/>
    <w:unhideWhenUsed/>
    <w:rsid w:val="00783A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3AAA"/>
  </w:style>
  <w:style w:type="table" w:styleId="TableGrid">
    <w:name w:val="Table Grid"/>
    <w:basedOn w:val="TableNormal"/>
    <w:uiPriority w:val="59"/>
    <w:rsid w:val="000B7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3</cp:revision>
  <dcterms:created xsi:type="dcterms:W3CDTF">2018-11-27T11:20:00Z</dcterms:created>
  <dcterms:modified xsi:type="dcterms:W3CDTF">2018-11-27T11:39:00Z</dcterms:modified>
</cp:coreProperties>
</file>